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23452"/>
          <w:sz w:val="36"/>
        </w:rPr>
        <w:t>ANNOTATED CHAPTER 7 MEANS-TEST GUIDE</w:t>
      </w:r>
    </w:p>
    <w:p>
      <w:pPr>
        <w:jc w:val="center"/>
      </w:pPr>
      <w:r>
        <w:t>Companion to the U.S. Trustee Program’s 10-page “Legal Issues Arising Under the Chapter 7 Means Test”</w:t>
      </w:r>
    </w:p>
    <w:p>
      <w:pPr>
        <w:jc w:val="center"/>
      </w:pPr>
      <w:r>
        <w:t>Arizona / Ninth Circuit | October 20, 2026</w:t>
      </w:r>
    </w:p>
    <w:p>
      <w:pPr>
        <w:pStyle w:val="Heading1"/>
      </w:pPr>
      <w:r>
        <w:t>How to use this guide</w:t>
      </w:r>
    </w:p>
    <w:p>
      <w:r>
        <w:t>This is a page-matched annotation companion, not a verbatim republication of the DOJ PDF. Keep the official original open alongside this document. Page numbers refer to the printed page labels in the original PDF; the DOJ’s historical form line references may differ from current forms. Each note identifies a discrete DOJ proposition, its treatment, and linked authority. “Further research” is not a conclusion that the position is invalid.</w:t>
      </w:r>
    </w:p>
    <w:p>
      <w:r>
        <w:t xml:space="preserve">Original DOJ statement: </w:t>
      </w:r>
      <w:hyperlink r:id="rId9">
        <w:r>
          <w:rPr>
            <w:color w:val="1267A0"/>
            <w:u w:val="single"/>
          </w:rPr>
          <w:t>Official 10-page PDF</w:t>
        </w:r>
      </w:hyperlink>
    </w:p>
    <w:p>
      <w:r>
        <w:t xml:space="preserve">Primary updating references: </w:t>
      </w:r>
      <w:hyperlink r:id="rId10">
        <w:r>
          <w:rPr>
            <w:color w:val="1267A0"/>
            <w:u w:val="single"/>
          </w:rPr>
          <w:t>§ 707</w:t>
        </w:r>
      </w:hyperlink>
      <w:r>
        <w:t xml:space="preserve">  |  </w:t>
      </w:r>
      <w:hyperlink r:id="rId11">
        <w:r>
          <w:rPr>
            <w:color w:val="1267A0"/>
            <w:u w:val="single"/>
          </w:rPr>
          <w:t>July 15, 2026 means-test standards</w:t>
        </w:r>
      </w:hyperlink>
      <w:r>
        <w:t xml:space="preserve">  |  </w:t>
      </w:r>
      <w:hyperlink r:id="rId12">
        <w:r>
          <w:rPr>
            <w:color w:val="1267A0"/>
            <w:u w:val="single"/>
          </w:rPr>
          <w:t>UST Program manual</w:t>
        </w:r>
      </w:hyperlink>
      <w:r>
        <w:t xml:space="preserve">  |  </w:t>
      </w:r>
      <w:hyperlink r:id="rId13">
        <w:r>
          <w:rPr>
            <w:color w:val="1267A0"/>
            <w:u w:val="single"/>
          </w:rPr>
          <w:t>Official Form 122A-2</w:t>
        </w:r>
      </w:hyperlink>
    </w:p>
    <w:p>
      <w:pPr>
        <w:pStyle w:val="Heading1"/>
      </w:pPr>
      <w:r>
        <w:t>Executive update register</w:t>
      </w:r>
    </w:p>
    <w:p>
      <w:pPr>
        <w:pStyle w:val="ListBullet"/>
      </w:pPr>
      <w:r>
        <w:t>Superseded: page 1 December 2019 National Guard / reservist sunset (later extended by Pub. L. 118-24).</w:t>
      </w:r>
    </w:p>
    <w:p>
      <w:pPr>
        <w:pStyle w:val="ListBullet"/>
      </w:pPr>
      <w:r>
        <w:t>Qualified: page 6 statement that a borrowed vehicle never qualifies for ownership allowance (*Drury*).</w:t>
      </w:r>
    </w:p>
    <w:p>
      <w:pPr>
        <w:pStyle w:val="ListBullet"/>
      </w:pPr>
      <w:r>
        <w:t>Update amounts: pages 4–6 and 9–10 IRS standards, education statutory cap, and Chapter 13 administrative multiplier depend on petition date.</w:t>
      </w:r>
    </w:p>
    <w:p>
      <w:pPr>
        <w:pStyle w:val="ListBullet"/>
      </w:pPr>
      <w:r>
        <w:t>Undetermined from verified authority: surrendered-collateral deductions, additional $200 older-vehicle deduction, negative business-income floor, and economic-unit household size.</w:t>
      </w:r>
    </w:p>
    <w:p>
      <w:pPr>
        <w:pStyle w:val="Heading1"/>
      </w:pPr>
      <w:r>
        <w:t>Original page 1 — Means-test exclusions</w:t>
      </w:r>
    </w:p>
    <w:p>
      <w:pPr>
        <w:pStyle w:val="Heading2"/>
      </w:pPr>
      <w:r>
        <w:t>Primarily nonconsumer debt</w:t>
      </w:r>
    </w:p>
    <w:p>
      <w:r>
        <w:rPr>
          <w:b/>
        </w:rPr>
        <w:t xml:space="preserve">QUALIFY.  </w:t>
      </w:r>
      <w:r>
        <w:t>The original measures consumer share by total scheduled debt and looks to the purpose when incurred. For mortgages, avoid treating residential collateral as conclusive of consumer purpose; the factual purpose of incurring the obligation governs. Verify *In re Cherrett*, 873 F.3d 1060 (9th Cir. 2017), before relying on a business-purpose classification.</w:t>
      </w:r>
    </w:p>
    <w:p>
      <w:r>
        <w:t xml:space="preserve">Authorities: </w:t>
      </w:r>
      <w:hyperlink r:id="rId10">
        <w:r>
          <w:rPr>
            <w:color w:val="1267A0"/>
            <w:u w:val="single"/>
          </w:rPr>
          <w:t>§ 707(b)(1)</w:t>
        </w:r>
      </w:hyperlink>
      <w:r>
        <w:t xml:space="preserve">  |  </w:t>
      </w:r>
      <w:hyperlink r:id="rId9">
        <w:r>
          <w:rPr>
            <w:color w:val="1267A0"/>
            <w:u w:val="single"/>
          </w:rPr>
          <w:t>Original UST</w:t>
        </w:r>
      </w:hyperlink>
    </w:p>
    <w:p>
      <w:pPr>
        <w:pStyle w:val="Heading2"/>
      </w:pPr>
      <w:r>
        <w:t>Disabled veterans / HAVEN Act</w:t>
      </w:r>
    </w:p>
    <w:p>
      <w:r>
        <w:rPr>
          <w:b/>
        </w:rPr>
        <w:t xml:space="preserve">DISTINGUISH.  </w:t>
      </w:r>
      <w:r>
        <w:t>The means-test exception in § 707(b)(2)(D) differs from the HAVEN Act exclusions of qualifying veterans’ benefits from current monthly income. Do not infer one from the other.</w:t>
      </w:r>
    </w:p>
    <w:p>
      <w:r>
        <w:t xml:space="preserve">Authorities: </w:t>
      </w:r>
      <w:hyperlink r:id="rId10">
        <w:r>
          <w:rPr>
            <w:color w:val="1267A0"/>
            <w:u w:val="single"/>
          </w:rPr>
          <w:t>§ 707</w:t>
        </w:r>
      </w:hyperlink>
      <w:r>
        <w:t xml:space="preserve">  |  </w:t>
      </w:r>
      <w:hyperlink r:id="rId14">
        <w:r>
          <w:rPr>
            <w:color w:val="1267A0"/>
            <w:u w:val="single"/>
          </w:rPr>
          <w:t>DOJ HAVEN FAQs</w:t>
        </w:r>
      </w:hyperlink>
    </w:p>
    <w:p>
      <w:pPr>
        <w:pStyle w:val="Heading2"/>
      </w:pPr>
      <w:r>
        <w:t>Reservists and National Guard</w:t>
      </w:r>
    </w:p>
    <w:p>
      <w:r>
        <w:rPr>
          <w:b/>
        </w:rPr>
        <w:t xml:space="preserve">SUPERSEDED AS TO SUNSET.  </w:t>
      </w:r>
      <w:r>
        <w:t>Original says exemption lasts only until December 2019 unless extended. Congress extended the 2008 statute’s 15-year period to 19 years in Public Law 118-24 (Dec. 19, 2023). Other eligibility requirements must still be satisfied.</w:t>
      </w:r>
    </w:p>
    <w:p>
      <w:r>
        <w:t xml:space="preserve">Authorities: </w:t>
      </w:r>
      <w:hyperlink r:id="rId15">
        <w:r>
          <w:rPr>
            <w:color w:val="1267A0"/>
            <w:u w:val="single"/>
          </w:rPr>
          <w:t>Pub. L. 118-24 (official PDF)</w:t>
        </w:r>
      </w:hyperlink>
      <w:r>
        <w:t xml:space="preserve">  |  </w:t>
      </w:r>
      <w:hyperlink r:id="rId10">
        <w:r>
          <w:rPr>
            <w:color w:val="1267A0"/>
            <w:u w:val="single"/>
          </w:rPr>
          <w:t>§ 707 / notes</w:t>
        </w:r>
      </w:hyperlink>
    </w:p>
    <w:p>
      <w:pPr>
        <w:pStyle w:val="Heading1"/>
      </w:pPr>
      <w:r>
        <w:t>Original page 2 — Current monthly income</w:t>
      </w:r>
    </w:p>
    <w:p>
      <w:pPr>
        <w:pStyle w:val="Heading2"/>
      </w:pPr>
      <w:r>
        <w:t>Marital status, gross wages, recurring third-party payments</w:t>
      </w:r>
    </w:p>
    <w:p>
      <w:r>
        <w:rPr>
          <w:b/>
        </w:rPr>
        <w:t xml:space="preserve">GENERALLY STATUTORY / FACT-SPECIFIC.  </w:t>
      </w:r>
      <w:r>
        <w:t>Use statutory “current monthly income” and contemporaneous Form 122A-1 instructions. Examine regularity and household-expense purpose of third-party contributions; mere receipt of a transfer does not establish a regularly paid household contribution.</w:t>
      </w:r>
    </w:p>
    <w:p>
      <w:r>
        <w:t xml:space="preserve">Authorities: </w:t>
      </w:r>
      <w:hyperlink r:id="rId9">
        <w:r>
          <w:rPr>
            <w:color w:val="1267A0"/>
            <w:u w:val="single"/>
          </w:rPr>
          <w:t>Original UST</w:t>
        </w:r>
      </w:hyperlink>
      <w:r>
        <w:t xml:space="preserve">  |  </w:t>
      </w:r>
      <w:hyperlink r:id="rId13">
        <w:r>
          <w:rPr>
            <w:color w:val="1267A0"/>
            <w:u w:val="single"/>
          </w:rPr>
          <w:t>Form 122A-2</w:t>
        </w:r>
      </w:hyperlink>
    </w:p>
    <w:p>
      <w:pPr>
        <w:pStyle w:val="Heading2"/>
      </w:pPr>
      <w:r>
        <w:t>Business / rental expenses and negative net income</w:t>
      </w:r>
    </w:p>
    <w:p>
      <w:r>
        <w:rPr>
          <w:b/>
        </w:rPr>
        <w:t xml:space="preserve">FURTHER RESEARCH.  </w:t>
      </w:r>
      <w:r>
        <w:t>The DOJ states ordinary-and-necessary expenses, no depreciation, and no negative net income. These are the DOJ’s administrative positions; this review has not verified a Ninth Circuit holding adopting all three assertions.</w:t>
      </w:r>
    </w:p>
    <w:p>
      <w:r>
        <w:t xml:space="preserve">Authorities: </w:t>
      </w:r>
      <w:hyperlink r:id="rId9">
        <w:r>
          <w:rPr>
            <w:color w:val="1267A0"/>
            <w:u w:val="single"/>
          </w:rPr>
          <w:t>Original UST</w:t>
        </w:r>
      </w:hyperlink>
    </w:p>
    <w:p>
      <w:pPr>
        <w:pStyle w:val="Heading2"/>
      </w:pPr>
      <w:r>
        <w:t>Retirement, Social Security, unemployment and other receipts</w:t>
      </w:r>
    </w:p>
    <w:p>
      <w:r>
        <w:rPr>
          <w:b/>
        </w:rPr>
        <w:t xml:space="preserve">QUALIFY.  </w:t>
      </w:r>
      <w:r>
        <w:t>Apply § 101(10A) and current benefit-specific exclusions, including the HAVEN Act. Avoid treating every type of military retirement benefit alike. The original’s general examples are not exhaustive.</w:t>
      </w:r>
    </w:p>
    <w:p>
      <w:r>
        <w:t xml:space="preserve">Authorities: </w:t>
      </w:r>
      <w:hyperlink r:id="rId14">
        <w:r>
          <w:rPr>
            <w:color w:val="1267A0"/>
            <w:u w:val="single"/>
          </w:rPr>
          <w:t>DOJ HAVEN FAQs</w:t>
        </w:r>
      </w:hyperlink>
      <w:r>
        <w:t xml:space="preserve">  |  </w:t>
      </w:r>
      <w:hyperlink r:id="rId9">
        <w:r>
          <w:rPr>
            <w:color w:val="1267A0"/>
            <w:u w:val="single"/>
          </w:rPr>
          <w:t>Original UST</w:t>
        </w:r>
      </w:hyperlink>
    </w:p>
    <w:p>
      <w:pPr>
        <w:pStyle w:val="Heading1"/>
      </w:pPr>
      <w:r>
        <w:t>Original page 3 — Median income and household size</w:t>
      </w:r>
    </w:p>
    <w:p>
      <w:pPr>
        <w:pStyle w:val="Heading2"/>
      </w:pPr>
      <w:r>
        <w:t>State of filing / IRS dependents / economic-unit exception</w:t>
      </w:r>
    </w:p>
    <w:p>
      <w:r>
        <w:rPr>
          <w:b/>
        </w:rPr>
        <w:t xml:space="preserve">FACT-SPECIFIC.  </w:t>
      </w:r>
      <w:r>
        <w:t>The original describes an IRS-dependent baseline with reasonable exceptions for longstanding economic units. Treat this as the UST’s approach, not a uniform judicial definition of household size. Document who resides together, support arrangements, and income treatment.</w:t>
      </w:r>
    </w:p>
    <w:p>
      <w:r>
        <w:t xml:space="preserve">Authorities: </w:t>
      </w:r>
      <w:hyperlink r:id="rId9">
        <w:r>
          <w:rPr>
            <w:color w:val="1267A0"/>
            <w:u w:val="single"/>
          </w:rPr>
          <w:t>Original UST</w:t>
        </w:r>
      </w:hyperlink>
      <w:r>
        <w:t xml:space="preserve">  |  </w:t>
      </w:r>
      <w:hyperlink r:id="rId11">
        <w:r>
          <w:rPr>
            <w:color w:val="1267A0"/>
            <w:u w:val="single"/>
          </w:rPr>
          <w:t>Current median-income tables</w:t>
        </w:r>
      </w:hyperlink>
    </w:p>
    <w:p>
      <w:pPr>
        <w:pStyle w:val="Heading1"/>
      </w:pPr>
      <w:r>
        <w:t>Original page 4 — Marital adjustment; national standards</w:t>
      </w:r>
    </w:p>
    <w:p>
      <w:pPr>
        <w:pStyle w:val="Heading2"/>
      </w:pPr>
      <w:r>
        <w:t>Nonfiling spouse’s separate expenditures</w:t>
      </w:r>
    </w:p>
    <w:p>
      <w:r>
        <w:rPr>
          <w:b/>
        </w:rPr>
        <w:t xml:space="preserve">FACT-SPECIFIC.  </w:t>
      </w:r>
      <w:r>
        <w:t>The UST describes categories of expenses that may be adjusted out of a nonfiling spouse’s income; personal legal liability alone does not establish the expenditure exclusively benefited that spouse. Preserve supporting receipts and purpose evidence.</w:t>
      </w:r>
    </w:p>
    <w:p>
      <w:r>
        <w:t xml:space="preserve">Authorities: </w:t>
      </w:r>
      <w:hyperlink r:id="rId9">
        <w:r>
          <w:rPr>
            <w:color w:val="1267A0"/>
            <w:u w:val="single"/>
          </w:rPr>
          <w:t>Original UST</w:t>
        </w:r>
      </w:hyperlink>
    </w:p>
    <w:p>
      <w:pPr>
        <w:pStyle w:val="Heading2"/>
      </w:pPr>
      <w:r>
        <w:t>Food, clothing, healthcare standards</w:t>
      </w:r>
    </w:p>
    <w:p>
      <w:r>
        <w:rPr>
          <w:b/>
        </w:rPr>
        <w:t xml:space="preserve">AMOUNTS UPDATED.  </w:t>
      </w:r>
      <w:r>
        <w:t>Original descriptions of covered categories are a historical guide; calculate using DOJ IRS standards that apply on the petition date and avoid double counting additional health expenses.</w:t>
      </w:r>
    </w:p>
    <w:p>
      <w:r>
        <w:t xml:space="preserve">Authorities: </w:t>
      </w:r>
      <w:hyperlink r:id="rId11">
        <w:r>
          <w:rPr>
            <w:color w:val="1267A0"/>
            <w:u w:val="single"/>
          </w:rPr>
          <w:t>2026 DOJ tables</w:t>
        </w:r>
      </w:hyperlink>
    </w:p>
    <w:p>
      <w:pPr>
        <w:pStyle w:val="Heading1"/>
      </w:pPr>
      <w:r>
        <w:t>Original page 5 — Housing and utilities</w:t>
      </w:r>
    </w:p>
    <w:p>
      <w:pPr>
        <w:pStyle w:val="Heading2"/>
      </w:pPr>
      <w:r>
        <w:t>Non-mortgage housing and mortgage/rent categories</w:t>
      </w:r>
    </w:p>
    <w:p>
      <w:r>
        <w:rPr>
          <w:b/>
        </w:rPr>
        <w:t xml:space="preserve">CURRENT FRAMEWORK; RECHECK LINE NUMBERS.  </w:t>
      </w:r>
      <w:r>
        <w:t>Local standards depend on residence and filing date. The UST instructs against double counting secured mortgage payments and the mortgage/rent local standard. Use the current form’s calculations.</w:t>
      </w:r>
    </w:p>
    <w:p>
      <w:r>
        <w:t xml:space="preserve">Authorities: </w:t>
      </w:r>
      <w:hyperlink r:id="rId11">
        <w:r>
          <w:rPr>
            <w:color w:val="1267A0"/>
            <w:u w:val="single"/>
          </w:rPr>
          <w:t>2026 DOJ tables</w:t>
        </w:r>
      </w:hyperlink>
      <w:r>
        <w:t xml:space="preserve">  |  </w:t>
      </w:r>
      <w:hyperlink r:id="rId13">
        <w:r>
          <w:rPr>
            <w:color w:val="1267A0"/>
            <w:u w:val="single"/>
          </w:rPr>
          <w:t>Official form</w:t>
        </w:r>
      </w:hyperlink>
    </w:p>
    <w:p>
      <w:pPr>
        <w:pStyle w:val="Heading2"/>
      </w:pPr>
      <w:r>
        <w:t>Mortgage payments where home is surrendered</w:t>
      </w:r>
    </w:p>
    <w:p>
      <w:r>
        <w:rPr>
          <w:b/>
        </w:rPr>
        <w:t xml:space="preserve">DISPUTED / TARGETED REVIEW REQUIRED.  </w:t>
      </w:r>
      <w:r>
        <w:t>The UST prohibits claiming surrendered-property secured payments in this document. That administrative position must be distinguished from the text of § 707(b)(2)(A)(iii) and from chapter 13 projected-income holdings. No definitive Ninth Circuit resolution is asserted here.</w:t>
      </w:r>
    </w:p>
    <w:p>
      <w:r>
        <w:t xml:space="preserve">Authorities: </w:t>
      </w:r>
      <w:hyperlink r:id="rId10">
        <w:r>
          <w:rPr>
            <w:color w:val="1267A0"/>
            <w:u w:val="single"/>
          </w:rPr>
          <w:t>§ 707(b)(2)(A)(iii)</w:t>
        </w:r>
      </w:hyperlink>
      <w:r>
        <w:t xml:space="preserve">  |  </w:t>
      </w:r>
      <w:hyperlink r:id="rId9">
        <w:r>
          <w:rPr>
            <w:color w:val="1267A0"/>
            <w:u w:val="single"/>
          </w:rPr>
          <w:t>Original UST</w:t>
        </w:r>
      </w:hyperlink>
    </w:p>
    <w:p>
      <w:pPr>
        <w:pStyle w:val="Heading1"/>
      </w:pPr>
      <w:r>
        <w:t>Original page 6 — Transportation</w:t>
      </w:r>
    </w:p>
    <w:p>
      <w:pPr>
        <w:pStyle w:val="Heading2"/>
      </w:pPr>
      <w:r>
        <w:t>Housing adjustment, vehicle operation and public transportation</w:t>
      </w:r>
    </w:p>
    <w:p>
      <w:r>
        <w:rPr>
          <w:b/>
        </w:rPr>
        <w:t xml:space="preserve">UST POSITION; CHECK ACTUAL FACTS.  </w:t>
      </w:r>
      <w:r>
        <w:t>The DOJ identifies objections to certain housing adjustments and describes operating/public transportation allowances. Verify the current local standards and current form wording; a creditor’s or UST’s stated policy is not independently binding on the court.</w:t>
      </w:r>
    </w:p>
    <w:p>
      <w:r>
        <w:t xml:space="preserve">Authorities: </w:t>
      </w:r>
      <w:hyperlink r:id="rId9">
        <w:r>
          <w:rPr>
            <w:color w:val="1267A0"/>
            <w:u w:val="single"/>
          </w:rPr>
          <w:t>Original UST</w:t>
        </w:r>
      </w:hyperlink>
      <w:r>
        <w:t xml:space="preserve">  |  </w:t>
      </w:r>
      <w:hyperlink r:id="rId11">
        <w:r>
          <w:rPr>
            <w:color w:val="1267A0"/>
            <w:u w:val="single"/>
          </w:rPr>
          <w:t>2026 DOJ tables</w:t>
        </w:r>
      </w:hyperlink>
    </w:p>
    <w:p>
      <w:pPr>
        <w:pStyle w:val="Heading2"/>
      </w:pPr>
      <w:r>
        <w:t>Older / high-mileage car +$200</w:t>
      </w:r>
    </w:p>
    <w:p>
      <w:r>
        <w:rPr>
          <w:b/>
        </w:rPr>
        <w:t xml:space="preserve">UNVERIFIED FOR CURRENT PRACTICE.  </w:t>
      </w:r>
      <w:r>
        <w:t>The original permits an additional $200 in certain circuits under stated age/mileage conditions. This review has not established a currently controlling Arizona/Ninth Circuit allowance or whether the historical amount remains applicable. Do not use the historical allowance without targeted verification.</w:t>
      </w:r>
    </w:p>
    <w:p>
      <w:r>
        <w:t xml:space="preserve">Authorities: </w:t>
      </w:r>
      <w:hyperlink r:id="rId9">
        <w:r>
          <w:rPr>
            <w:color w:val="1267A0"/>
            <w:u w:val="single"/>
          </w:rPr>
          <w:t>Original UST</w:t>
        </w:r>
      </w:hyperlink>
    </w:p>
    <w:p>
      <w:pPr>
        <w:pStyle w:val="Heading2"/>
      </w:pPr>
      <w:r>
        <w:t>Vehicle ownership when borrower not on title/loan</w:t>
      </w:r>
    </w:p>
    <w:p>
      <w:r>
        <w:rPr>
          <w:b/>
        </w:rPr>
        <w:t xml:space="preserve">QUALIFIED BY NINTH CIRCUIT BAP.  </w:t>
      </w:r>
      <w:r>
        <w:t>*In re Drury* holds that a debtor making necessary vehicle loan or lease payments as a condition of continued use may take the ownership allowance despite not holding title or being liable on the loan. The DOJ’s categorical “borrowed vehicle” statement is too broad; a car owned free and clear remains distinct under *Ransom*.</w:t>
      </w:r>
    </w:p>
    <w:p>
      <w:r>
        <w:t xml:space="preserve">Authorities: </w:t>
      </w:r>
      <w:hyperlink r:id="rId16">
        <w:r>
          <w:rPr>
            <w:color w:val="1267A0"/>
            <w:u w:val="single"/>
          </w:rPr>
          <w:t>Drury opinion</w:t>
        </w:r>
      </w:hyperlink>
      <w:r>
        <w:t xml:space="preserve">  |  </w:t>
      </w:r>
      <w:hyperlink r:id="rId9">
        <w:r>
          <w:rPr>
            <w:color w:val="1267A0"/>
            <w:u w:val="single"/>
          </w:rPr>
          <w:t>Original UST</w:t>
        </w:r>
      </w:hyperlink>
    </w:p>
    <w:p>
      <w:pPr>
        <w:pStyle w:val="Heading1"/>
      </w:pPr>
      <w:r>
        <w:t>Original page 7 — Taxes, retirement, support and childcare</w:t>
      </w:r>
    </w:p>
    <w:p>
      <w:pPr>
        <w:pStyle w:val="Heading2"/>
      </w:pPr>
      <w:r>
        <w:t>Taxes due versus withholding</w:t>
      </w:r>
    </w:p>
    <w:p>
      <w:r>
        <w:rPr>
          <w:b/>
        </w:rPr>
        <w:t xml:space="preserve">GENERALLY CURRENT.  </w:t>
      </w:r>
      <w:r>
        <w:t>A withholding figure is not necessarily the actual tax expense. Review actual anticipated tax liability and avoid double counting nonfiling spouse tax adjustments.</w:t>
      </w:r>
    </w:p>
    <w:p>
      <w:r>
        <w:t xml:space="preserve">Authorities: </w:t>
      </w:r>
      <w:hyperlink r:id="rId9">
        <w:r>
          <w:rPr>
            <w:color w:val="1267A0"/>
            <w:u w:val="single"/>
          </w:rPr>
          <w:t>Original UST</w:t>
        </w:r>
      </w:hyperlink>
      <w:r>
        <w:t xml:space="preserve">  |  </w:t>
      </w:r>
      <w:hyperlink r:id="rId10">
        <w:r>
          <w:rPr>
            <w:color w:val="1267A0"/>
            <w:u w:val="single"/>
          </w:rPr>
          <w:t>§ 707</w:t>
        </w:r>
      </w:hyperlink>
    </w:p>
    <w:p>
      <w:pPr>
        <w:pStyle w:val="Heading2"/>
      </w:pPr>
      <w:r>
        <w:t>Voluntary retirement contributions and 401(k) loans</w:t>
      </w:r>
    </w:p>
    <w:p>
      <w:r>
        <w:rPr>
          <w:b/>
        </w:rPr>
        <w:t xml:space="preserve">QUALIFY BY CHAPTER AND STATUTORY CATEGORY.  </w:t>
      </w:r>
      <w:r>
        <w:t>The DOJ excludes voluntary 401(k) items from involuntary employment deductions. The Ninth Circuit’s *Egebjerg*, 574 F.3d 1045 (2009), concerns repayments of debtor’s own 401(k) loans under the chapter 7 means-test deduction and should not be generalized to every retirement question.</w:t>
      </w:r>
    </w:p>
    <w:p>
      <w:r>
        <w:t xml:space="preserve">Authorities: </w:t>
      </w:r>
      <w:hyperlink r:id="rId10">
        <w:r>
          <w:rPr>
            <w:color w:val="1267A0"/>
            <w:u w:val="single"/>
          </w:rPr>
          <w:t>§ 707</w:t>
        </w:r>
      </w:hyperlink>
      <w:r>
        <w:t xml:space="preserve">  |  </w:t>
      </w:r>
      <w:hyperlink r:id="rId9">
        <w:r>
          <w:rPr>
            <w:color w:val="1267A0"/>
            <w:u w:val="single"/>
          </w:rPr>
          <w:t>Original UST</w:t>
        </w:r>
      </w:hyperlink>
    </w:p>
    <w:p>
      <w:pPr>
        <w:pStyle w:val="Heading2"/>
      </w:pPr>
      <w:r>
        <w:t>Insurance, current support, job training and childcare</w:t>
      </w:r>
    </w:p>
    <w:p>
      <w:r>
        <w:rPr>
          <w:b/>
        </w:rPr>
        <w:t xml:space="preserve">CHECK ACTUAL NECESSITY AND NO DUPLICATION.  </w:t>
      </w:r>
      <w:r>
        <w:t>The DOJ provides examples and limits. These depend on the statutory category, actual expense and supporting facts; use current form line positions rather than historical line references.</w:t>
      </w:r>
    </w:p>
    <w:p>
      <w:r>
        <w:t xml:space="preserve">Authorities: </w:t>
      </w:r>
      <w:hyperlink r:id="rId13">
        <w:r>
          <w:rPr>
            <w:color w:val="1267A0"/>
            <w:u w:val="single"/>
          </w:rPr>
          <w:t>Official Form 122A-2</w:t>
        </w:r>
      </w:hyperlink>
      <w:r>
        <w:t xml:space="preserve">  |  </w:t>
      </w:r>
      <w:hyperlink r:id="rId9">
        <w:r>
          <w:rPr>
            <w:color w:val="1267A0"/>
            <w:u w:val="single"/>
          </w:rPr>
          <w:t>Original UST</w:t>
        </w:r>
      </w:hyperlink>
    </w:p>
    <w:p>
      <w:pPr>
        <w:pStyle w:val="Heading1"/>
      </w:pPr>
      <w:r>
        <w:t>Original page 8 — Healthcare and special family expenses</w:t>
      </w:r>
    </w:p>
    <w:p>
      <w:pPr>
        <w:pStyle w:val="Heading2"/>
      </w:pPr>
      <w:r>
        <w:t>Out-of-pocket health, telecommunications, insurance/HSA</w:t>
      </w:r>
    </w:p>
    <w:p>
      <w:r>
        <w:rPr>
          <w:b/>
        </w:rPr>
        <w:t xml:space="preserve">GENERALLY CURRENT FRAMEWORK.  </w:t>
      </w:r>
      <w:r>
        <w:t>Avoid double counting national healthcare allowances, insurance/HSA amounts and actual unreimbursed out-of-pocket expenses. The original distinguishes basic phone costs from extraordinary telecommunications costs.</w:t>
      </w:r>
    </w:p>
    <w:p>
      <w:r>
        <w:t xml:space="preserve">Authorities: </w:t>
      </w:r>
      <w:hyperlink r:id="rId11">
        <w:r>
          <w:rPr>
            <w:color w:val="1267A0"/>
            <w:u w:val="single"/>
          </w:rPr>
          <w:t>Current DOJ standards</w:t>
        </w:r>
      </w:hyperlink>
      <w:r>
        <w:t xml:space="preserve">  |  </w:t>
      </w:r>
      <w:hyperlink r:id="rId9">
        <w:r>
          <w:rPr>
            <w:color w:val="1267A0"/>
            <w:u w:val="single"/>
          </w:rPr>
          <w:t>Original UST</w:t>
        </w:r>
      </w:hyperlink>
    </w:p>
    <w:p>
      <w:pPr>
        <w:pStyle w:val="Heading2"/>
      </w:pPr>
      <w:r>
        <w:t>Family care, protection from violence, energy</w:t>
      </w:r>
    </w:p>
    <w:p>
      <w:r>
        <w:rPr>
          <w:b/>
        </w:rPr>
        <w:t xml:space="preserve">FACT-SPECIFIC.  </w:t>
      </w:r>
      <w:r>
        <w:t>The DOJ outlines documentation, necessity and confidentiality requirements for qualifying expenses. Review the relevant statute and current form instructions before claiming.</w:t>
      </w:r>
    </w:p>
    <w:p>
      <w:r>
        <w:t xml:space="preserve">Authorities: </w:t>
      </w:r>
      <w:hyperlink r:id="rId10">
        <w:r>
          <w:rPr>
            <w:color w:val="1267A0"/>
            <w:u w:val="single"/>
          </w:rPr>
          <w:t>§ 707</w:t>
        </w:r>
      </w:hyperlink>
      <w:r>
        <w:t xml:space="preserve">  |  </w:t>
      </w:r>
      <w:hyperlink r:id="rId13">
        <w:r>
          <w:rPr>
            <w:color w:val="1267A0"/>
            <w:u w:val="single"/>
          </w:rPr>
          <w:t>Official Form 122A-2</w:t>
        </w:r>
      </w:hyperlink>
    </w:p>
    <w:p>
      <w:pPr>
        <w:pStyle w:val="Heading1"/>
      </w:pPr>
      <w:r>
        <w:t>Original page 9 — Education, charitable giving and secured debt</w:t>
      </w:r>
    </w:p>
    <w:p>
      <w:pPr>
        <w:pStyle w:val="Heading2"/>
      </w:pPr>
      <w:r>
        <w:t>Education expense: historical $160.42 cap</w:t>
      </w:r>
    </w:p>
    <w:p>
      <w:r>
        <w:rPr>
          <w:b/>
        </w:rPr>
        <w:t xml:space="preserve">DOLLAR AMOUNT OUTDATED.  </w:t>
      </w:r>
      <w:r>
        <w:t>The original’s $160.42 ceiling should not be entered without checking the amount applicable on the petition date; § 104 periodically adjusts specified statutory dollar limits. Confirm eligible child, covered expense and documentation.</w:t>
      </w:r>
    </w:p>
    <w:p>
      <w:r>
        <w:t xml:space="preserve">Authorities: </w:t>
      </w:r>
      <w:hyperlink r:id="rId10">
        <w:r>
          <w:rPr>
            <w:color w:val="1267A0"/>
            <w:u w:val="single"/>
          </w:rPr>
          <w:t>§ 707 / adjustment notes</w:t>
        </w:r>
      </w:hyperlink>
    </w:p>
    <w:p>
      <w:pPr>
        <w:pStyle w:val="Heading2"/>
      </w:pPr>
      <w:r>
        <w:t>Food/clothing additions; continued charitable giving</w:t>
      </w:r>
    </w:p>
    <w:p>
      <w:r>
        <w:rPr>
          <w:b/>
        </w:rPr>
        <w:t xml:space="preserve">STATUTORY CONDITIONS APPLY.  </w:t>
      </w:r>
      <w:r>
        <w:t>The DOJ discusses the 5% additional food/clothing allowance and continued charitable gifts. Do not collapse the deduction requirements into the separate prohibition on considering qualifying gifts when determining abuse under § 707(b)(1).</w:t>
      </w:r>
    </w:p>
    <w:p>
      <w:r>
        <w:t xml:space="preserve">Authorities: </w:t>
      </w:r>
      <w:hyperlink r:id="rId10">
        <w:r>
          <w:rPr>
            <w:color w:val="1267A0"/>
            <w:u w:val="single"/>
          </w:rPr>
          <w:t>§ 707</w:t>
        </w:r>
      </w:hyperlink>
    </w:p>
    <w:p>
      <w:pPr>
        <w:pStyle w:val="Heading2"/>
      </w:pPr>
      <w:r>
        <w:t>Secured claim future payments / balloon loans / surrender</w:t>
      </w:r>
    </w:p>
    <w:p>
      <w:r>
        <w:rPr>
          <w:b/>
        </w:rPr>
        <w:t xml:space="preserve">BASIC 60-MONTH FORMULA CURRENT; SURRENDER UNRESOLVED.  </w:t>
      </w:r>
      <w:r>
        <w:t>The UST states contractual payments due over 60 months divided by 60, but takes a negative position on surrendered collateral. Preserve the distinction between Code text, original UST position and controlling court decisions. Also evaluate independent § 707(b)(3) considerations for luxury items.</w:t>
      </w:r>
    </w:p>
    <w:p>
      <w:r>
        <w:t xml:space="preserve">Authorities: </w:t>
      </w:r>
      <w:hyperlink r:id="rId10">
        <w:r>
          <w:rPr>
            <w:color w:val="1267A0"/>
            <w:u w:val="single"/>
          </w:rPr>
          <w:t>§ 707(b)(2)(A)(iii)</w:t>
        </w:r>
      </w:hyperlink>
      <w:r>
        <w:t xml:space="preserve">  |  </w:t>
      </w:r>
      <w:hyperlink r:id="rId9">
        <w:r>
          <w:rPr>
            <w:color w:val="1267A0"/>
            <w:u w:val="single"/>
          </w:rPr>
          <w:t>Original UST</w:t>
        </w:r>
      </w:hyperlink>
    </w:p>
    <w:p>
      <w:pPr>
        <w:pStyle w:val="Heading1"/>
      </w:pPr>
      <w:r>
        <w:t>Original page 10 — Priority claims; hypothetical Chapter 13 expenses</w:t>
      </w:r>
    </w:p>
    <w:p>
      <w:pPr>
        <w:pStyle w:val="Heading2"/>
      </w:pPr>
      <w:r>
        <w:t>Priority claims and secured arrearages</w:t>
      </w:r>
    </w:p>
    <w:p>
      <w:r>
        <w:rPr>
          <w:b/>
        </w:rPr>
        <w:t xml:space="preserve">STATUTE / ACTUAL CLAIM REVIEW.  </w:t>
      </w:r>
      <w:r>
        <w:t>Amounts should be verified at filing, assigned to proper priority and secured categories, and not counted twice.</w:t>
      </w:r>
    </w:p>
    <w:p>
      <w:r>
        <w:t xml:space="preserve">Authorities: </w:t>
      </w:r>
      <w:hyperlink r:id="rId10">
        <w:r>
          <w:rPr>
            <w:color w:val="1267A0"/>
            <w:u w:val="single"/>
          </w:rPr>
          <w:t>§ 707</w:t>
        </w:r>
      </w:hyperlink>
    </w:p>
    <w:p>
      <w:pPr>
        <w:pStyle w:val="Heading2"/>
      </w:pPr>
      <w:r>
        <w:t>Chapter 13 administrative percentage</w:t>
      </w:r>
    </w:p>
    <w:p>
      <w:r>
        <w:rPr>
          <w:b/>
        </w:rPr>
        <w:t xml:space="preserve">HISTORICAL EXAMPLES OUTDATED.  </w:t>
      </w:r>
      <w:r>
        <w:t>The Tennessee-specific percentages in the original DOJ PDF are not Arizona rates. Use the applicable filing-date DOJ Chapter 13 administrative expense multiplier.</w:t>
      </w:r>
    </w:p>
    <w:p>
      <w:r>
        <w:t xml:space="preserve">Authorities: </w:t>
      </w:r>
      <w:hyperlink r:id="rId11">
        <w:r>
          <w:rPr>
            <w:color w:val="1267A0"/>
            <w:u w:val="single"/>
          </w:rPr>
          <w:t>2026 DOJ multipliers</w:t>
        </w:r>
      </w:hyperlink>
      <w:r>
        <w:t xml:space="preserve">  |  </w:t>
      </w:r>
      <w:hyperlink r:id="rId17">
        <w:r>
          <w:rPr>
            <w:color w:val="1267A0"/>
            <w:u w:val="single"/>
          </w:rPr>
          <w:t>June 2026 DOJ update</w:t>
        </w:r>
      </w:hyperlink>
    </w:p>
    <w:p>
      <w:pPr>
        <w:pStyle w:val="Heading2"/>
      </w:pPr>
      <w:r>
        <w:t>Other expenses and special circumstances</w:t>
      </w:r>
    </w:p>
    <w:p>
      <w:r>
        <w:rPr>
          <w:b/>
        </w:rPr>
        <w:t xml:space="preserve">DISTINGUISH FROM ORDINARY EXPENSE DEDUCTIONS.  </w:t>
      </w:r>
      <w:r>
        <w:t>The DOJ treats this line as a place to describe special circumstances rather than automatically adjusting the mechanical presumption calculation. Section 707(b)(2)(B) requires a detailed explanation and documentation. Review the current form to identify where special circumstances are recorded.</w:t>
      </w:r>
    </w:p>
    <w:p>
      <w:r>
        <w:t xml:space="preserve">Authorities: </w:t>
      </w:r>
      <w:hyperlink r:id="rId10">
        <w:r>
          <w:rPr>
            <w:color w:val="1267A0"/>
            <w:u w:val="single"/>
          </w:rPr>
          <w:t>§ 707(b)(2)(B)</w:t>
        </w:r>
      </w:hyperlink>
      <w:r>
        <w:t xml:space="preserve">  |  </w:t>
      </w:r>
      <w:hyperlink r:id="rId13">
        <w:r>
          <w:rPr>
            <w:color w:val="1267A0"/>
            <w:u w:val="single"/>
          </w:rPr>
          <w:t>Current form</w:t>
        </w:r>
      </w:hyperlink>
    </w:p>
    <w:p>
      <w:pPr>
        <w:pStyle w:val="Heading1"/>
      </w:pPr>
      <w:r>
        <w:t>Research boundaries and verification checklist</w:t>
      </w:r>
    </w:p>
    <w:p>
      <w:r>
        <w:t>This companion preserves the DOJ text by direct link, rather than reproducing every original bullet. Selected cases were identified in the preceding research; only authorities whose official links are supplied here have direct live links. The issues expressly marked “further research,” “unverified,” or “unresolved” are not resolved by this document. Before using any contested position in a pleading, verify Ninth Circuit and published BAP decisions, District of Arizona bankruptcy decisions, and any subsequent changes through the filing date.</w:t>
      </w:r>
    </w:p>
    <w:p>
      <w:r>
        <w:t>Practical verification: confirm filing date; jurisdiction; applicable 122A form edition; median-income and IRS data period; administrative multiplier; current statute; relevant Supreme Court/Ninth Circuit/BAP precedent; and whether the UST statement is merely administrative guidance.</w:t>
      </w:r>
    </w:p>
    <w:sectPr w:rsidR="00FC693F" w:rsidRPr="0006063C" w:rsidSect="00034616">
      <w:footerReference w:type="default" r:id="rId18"/>
      <w:pgSz w:w="12240" w:h="15840"/>
      <w:pgMar w:top="1008" w:right="1800" w:bottom="97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Arizona Chapter 7 means-test | annotated research companion | 20 Oct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45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466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justice.gov/ust-regions-r08/file/Means_Test_Issues_Nash.pdf/download" TargetMode="External"/><Relationship Id="rId10" Type="http://schemas.openxmlformats.org/officeDocument/2006/relationships/hyperlink" Target="https://uscode.house.gov/us/usc/119-118/t11/s707/" TargetMode="External"/><Relationship Id="rId11" Type="http://schemas.openxmlformats.org/officeDocument/2006/relationships/hyperlink" Target="https://www.justice.gov/ust/means-testing/20260715" TargetMode="External"/><Relationship Id="rId12" Type="http://schemas.openxmlformats.org/officeDocument/2006/relationships/hyperlink" Target="https://www.justice.gov/ust/united-states-trustee-program-policy-and-practices-manual" TargetMode="External"/><Relationship Id="rId13" Type="http://schemas.openxmlformats.org/officeDocument/2006/relationships/hyperlink" Target="https://www.uscourts.gov/forms-rules/forms/chapter-7-means-test-calculation-0" TargetMode="External"/><Relationship Id="rId14" Type="http://schemas.openxmlformats.org/officeDocument/2006/relationships/hyperlink" Target="https://www.justice.gov/ust/file/haven_act_faqs.pdf/dl" TargetMode="External"/><Relationship Id="rId15" Type="http://schemas.openxmlformats.org/officeDocument/2006/relationships/hyperlink" Target="https://www.congress.gov/118/plaws/publ24/PLAW-118publ24.pdf" TargetMode="External"/><Relationship Id="rId16" Type="http://schemas.openxmlformats.org/officeDocument/2006/relationships/hyperlink" Target="https://cdn.ca9.uscourts.gov/datastore/bap/2016/08/23/Drury%20Memo%2015-1441.pdf" TargetMode="External"/><Relationship Id="rId17" Type="http://schemas.openxmlformats.org/officeDocument/2006/relationships/hyperlink" Target="https://www.justice.gov/ust/notice/updated-administrative-expense-multipliers-irs-data-spring-2026" TargetMode="Externa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